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Default="00DC27F3" w:rsidP="00DC27F3">
      <w:pPr>
        <w:pStyle w:val="Default"/>
      </w:pPr>
    </w:p>
    <w:p w:rsidR="00DC27F3" w:rsidRDefault="00DC27F3" w:rsidP="00DC27F3">
      <w:pPr>
        <w:pStyle w:val="Default"/>
        <w:rPr>
          <w:b/>
          <w:bCs/>
          <w:sz w:val="23"/>
          <w:szCs w:val="23"/>
          <w:u w:val="single"/>
        </w:rPr>
      </w:pPr>
      <w:r w:rsidRPr="00DC27F3">
        <w:rPr>
          <w:sz w:val="36"/>
          <w:szCs w:val="36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CHECKLIST</w:t>
      </w:r>
      <w:r w:rsidRPr="00DC27F3">
        <w:rPr>
          <w:b/>
          <w:bCs/>
          <w:sz w:val="23"/>
          <w:szCs w:val="23"/>
          <w:u w:val="single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FOR FILING NET METERING APPLICATIONS</w:t>
      </w:r>
      <w:r w:rsidRPr="00DC27F3">
        <w:rPr>
          <w:b/>
          <w:bCs/>
          <w:sz w:val="23"/>
          <w:szCs w:val="23"/>
          <w:u w:val="single"/>
        </w:rPr>
        <w:t xml:space="preserve"> </w:t>
      </w: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DC27F3" w:rsidRPr="00DC27F3" w:rsidRDefault="00DC27F3" w:rsidP="00DC27F3">
      <w:pPr>
        <w:pStyle w:val="Default"/>
        <w:rPr>
          <w:sz w:val="23"/>
          <w:szCs w:val="23"/>
          <w:u w:val="single"/>
        </w:rPr>
      </w:pP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DC27F3" w:rsidRPr="003873F9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 xml:space="preserve">) </w:t>
      </w:r>
    </w:p>
    <w:p w:rsidR="001622B0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Attested copy of CNIC. </w:t>
      </w:r>
    </w:p>
    <w:p w:rsidR="001622B0" w:rsidRPr="001622B0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1622B0" w:rsidRPr="001622B0">
        <w:rPr>
          <w:rFonts w:ascii="Tahoma" w:hAnsi="Tahoma" w:cs="Tahoma"/>
          <w:sz w:val="32"/>
          <w:szCs w:val="32"/>
        </w:rPr>
        <w:t xml:space="preserve">Copy of last paid electricity bill. (Name of applicant and name </w:t>
      </w:r>
      <w:r>
        <w:rPr>
          <w:rFonts w:ascii="Tahoma" w:hAnsi="Tahoma" w:cs="Tahoma"/>
          <w:sz w:val="32"/>
          <w:szCs w:val="32"/>
        </w:rPr>
        <w:tab/>
      </w:r>
      <w:r w:rsidR="001622B0" w:rsidRPr="001622B0">
        <w:rPr>
          <w:rFonts w:ascii="Tahoma" w:hAnsi="Tahoma" w:cs="Tahoma"/>
          <w:sz w:val="32"/>
          <w:szCs w:val="32"/>
        </w:rPr>
        <w:t>mentioned on electricity bill must be same).</w:t>
      </w: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1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Load Flow Study if DG Facility is greater than 10 KW.</w:t>
      </w:r>
    </w:p>
    <w:p w:rsidR="00DC27F3" w:rsidRDefault="00DC27F3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1622B0" w:rsidRDefault="001622B0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3873F9" w:rsidRPr="00DC27F3" w:rsidRDefault="003873F9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lastRenderedPageBreak/>
        <w:t xml:space="preserve">NOTE: - </w:t>
      </w:r>
    </w:p>
    <w:p w:rsidR="00DC27F3" w:rsidRPr="00DC27F3" w:rsidRDefault="00DC27F3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i.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 Only consumers having 3 phase meters installed at their premises are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eligible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for net metering facility. </w:t>
      </w:r>
    </w:p>
    <w:p w:rsidR="00DC27F3" w:rsidRPr="00DC27F3" w:rsidRDefault="00DC27F3" w:rsidP="00DC27F3">
      <w:pPr>
        <w:pStyle w:val="Default"/>
        <w:spacing w:after="39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</w:t>
      </w:r>
      <w:r>
        <w:rPr>
          <w:rFonts w:ascii="Calibri" w:hAnsi="Calibri" w:cs="Calibri"/>
          <w:b/>
          <w:i/>
          <w:iCs/>
          <w:sz w:val="32"/>
          <w:szCs w:val="32"/>
        </w:rPr>
        <w:t>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The inverters must be of grid-tied type. </w:t>
      </w:r>
    </w:p>
    <w:p w:rsidR="00DC27F3" w:rsidRPr="00DC27F3" w:rsidRDefault="00DC27F3" w:rsidP="00DC27F3">
      <w:pPr>
        <w:pStyle w:val="Default"/>
        <w:spacing w:after="39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iii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Maximum allowed capacity for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net metering facility is 1000 K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Ws. </w:t>
      </w:r>
    </w:p>
    <w:p w:rsidR="00DC27F3" w:rsidRDefault="00DC27F3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t xml:space="preserve">For Further details please visit </w:t>
      </w:r>
      <w:r>
        <w:rPr>
          <w:rFonts w:ascii="Tahoma" w:hAnsi="Tahoma" w:cs="Tahoma"/>
          <w:b/>
          <w:bCs/>
          <w:sz w:val="32"/>
          <w:szCs w:val="32"/>
        </w:rPr>
        <w:t>:</w:t>
      </w:r>
    </w:p>
    <w:p w:rsidR="00770F60" w:rsidRPr="00DC27F3" w:rsidRDefault="00770F60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B61936">
        <w:rPr>
          <w:rFonts w:ascii="Calibri" w:hAnsi="Calibri" w:cs="Calibri"/>
          <w:b/>
          <w:sz w:val="32"/>
          <w:szCs w:val="32"/>
        </w:rPr>
        <w:t>http://www.mepco.com.pk/</w:t>
      </w:r>
      <w:r w:rsidR="00B61936" w:rsidRPr="00B61936">
        <w:rPr>
          <w:rFonts w:ascii="Calibri" w:hAnsi="Calibri" w:cs="Calibri"/>
          <w:b/>
          <w:sz w:val="32"/>
          <w:szCs w:val="32"/>
        </w:rPr>
        <w:t>Net-Metering-under-MEPCO</w:t>
      </w:r>
    </w:p>
    <w:p w:rsidR="00B61936" w:rsidRPr="00B61936" w:rsidRDefault="00B61936" w:rsidP="00B61936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p w:rsidR="001622B0" w:rsidRP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http://www.nepra.org.pk/Legislation/Regulations/NOTIFICATION%20SRO%20892%20-2015.PDF</w:t>
      </w:r>
    </w:p>
    <w:p w:rsidR="001622B0" w:rsidRPr="001622B0" w:rsidRDefault="001622B0" w:rsidP="001622B0">
      <w:pPr>
        <w:pStyle w:val="Default"/>
        <w:spacing w:after="29"/>
        <w:rPr>
          <w:rFonts w:ascii="Calibri" w:hAnsi="Calibri" w:cs="Calibri"/>
          <w:b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http://www.nepra.org.pk/Lic_netmetering.htm</w:t>
      </w:r>
    </w:p>
    <w:p w:rsidR="001622B0" w:rsidRPr="001622B0" w:rsidRDefault="001622B0" w:rsidP="001622B0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p w:rsidR="001622B0" w:rsidRP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http://www.aedb.org/articles-list/268-list-of-provisionally-approved-applicants-for-net-metering-under-aedb-certification-regulation-2017</w:t>
      </w:r>
    </w:p>
    <w:p w:rsidR="00C068EF" w:rsidRPr="001622B0" w:rsidRDefault="00C068EF" w:rsidP="001622B0">
      <w:pPr>
        <w:pStyle w:val="Default"/>
        <w:spacing w:after="29"/>
        <w:rPr>
          <w:rFonts w:ascii="Calibri" w:hAnsi="Calibri" w:cs="Calibri"/>
          <w:b/>
          <w:sz w:val="32"/>
          <w:szCs w:val="32"/>
        </w:rPr>
      </w:pPr>
    </w:p>
    <w:sectPr w:rsidR="00C068EF" w:rsidRPr="001622B0" w:rsidSect="00DC27F3">
      <w:foot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53" w:rsidRDefault="00B17A53" w:rsidP="00963BFF">
      <w:r>
        <w:separator/>
      </w:r>
    </w:p>
  </w:endnote>
  <w:endnote w:type="continuationSeparator" w:id="1">
    <w:p w:rsidR="00B17A53" w:rsidRDefault="00B17A53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963BFF" w:rsidTr="00963BFF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45480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477211" w:rsidRPr="00477211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53" w:rsidRDefault="00B17A53" w:rsidP="00963BFF">
      <w:r>
        <w:separator/>
      </w:r>
    </w:p>
  </w:footnote>
  <w:footnote w:type="continuationSeparator" w:id="1">
    <w:p w:rsidR="00B17A53" w:rsidRDefault="00B17A53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44207"/>
    <w:rsid w:val="001622B0"/>
    <w:rsid w:val="00263541"/>
    <w:rsid w:val="0030322E"/>
    <w:rsid w:val="003873F9"/>
    <w:rsid w:val="00454800"/>
    <w:rsid w:val="00477211"/>
    <w:rsid w:val="00690737"/>
    <w:rsid w:val="00770F60"/>
    <w:rsid w:val="008B67CB"/>
    <w:rsid w:val="00934461"/>
    <w:rsid w:val="00963BFF"/>
    <w:rsid w:val="00B17A53"/>
    <w:rsid w:val="00B61936"/>
    <w:rsid w:val="00C068EF"/>
    <w:rsid w:val="00DC27F3"/>
    <w:rsid w:val="00E556D0"/>
    <w:rsid w:val="00F6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266552"/>
    <w:rsid w:val="00377762"/>
    <w:rsid w:val="004A1D15"/>
    <w:rsid w:val="00CE30BE"/>
    <w:rsid w:val="00E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2018-02-07T04:43:00Z</dcterms:created>
  <dcterms:modified xsi:type="dcterms:W3CDTF">2018-02-07T06:35:00Z</dcterms:modified>
</cp:coreProperties>
</file>