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F3" w:rsidRPr="000D3C5B" w:rsidRDefault="00CC3D4B" w:rsidP="003F3E17">
      <w:pPr>
        <w:pStyle w:val="Default"/>
        <w:jc w:val="center"/>
        <w:rPr>
          <w:b/>
          <w:bCs/>
          <w:sz w:val="32"/>
          <w:szCs w:val="32"/>
          <w:u w:val="single"/>
        </w:rPr>
      </w:pPr>
      <w:bookmarkStart w:id="0" w:name="_GoBack"/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7.5pt;margin-top:7.5pt;width:.75pt;height:698.15pt;z-index:251658240" o:connectortype="straight"/>
        </w:pict>
      </w:r>
      <w:r w:rsidR="00DC27F3" w:rsidRPr="000D3C5B">
        <w:rPr>
          <w:b/>
          <w:bCs/>
          <w:sz w:val="32"/>
          <w:szCs w:val="32"/>
          <w:u w:val="single"/>
        </w:rPr>
        <w:t xml:space="preserve">CHECKLIST FOR FILING </w:t>
      </w:r>
      <w:r w:rsidR="00B30163">
        <w:rPr>
          <w:b/>
          <w:bCs/>
          <w:sz w:val="32"/>
          <w:szCs w:val="32"/>
          <w:u w:val="single"/>
        </w:rPr>
        <w:t xml:space="preserve">MEPCO </w:t>
      </w:r>
      <w:r w:rsidR="00DC27F3" w:rsidRPr="000D3C5B">
        <w:rPr>
          <w:b/>
          <w:bCs/>
          <w:sz w:val="32"/>
          <w:szCs w:val="32"/>
          <w:u w:val="single"/>
        </w:rPr>
        <w:t xml:space="preserve">NET METERING </w:t>
      </w:r>
      <w:bookmarkEnd w:id="0"/>
      <w:r w:rsidR="00DC27F3" w:rsidRPr="000D3C5B">
        <w:rPr>
          <w:b/>
          <w:bCs/>
          <w:sz w:val="32"/>
          <w:szCs w:val="32"/>
          <w:u w:val="single"/>
        </w:rPr>
        <w:t>APPLICATIONS</w:t>
      </w:r>
    </w:p>
    <w:p w:rsidR="000D3C5B" w:rsidRPr="001622B0" w:rsidRDefault="000D3C5B" w:rsidP="006B4918">
      <w:pPr>
        <w:pStyle w:val="ListParagraph"/>
        <w:numPr>
          <w:ilvl w:val="0"/>
          <w:numId w:val="9"/>
        </w:numPr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>
        <w:rPr>
          <w:rFonts w:ascii="Tahoma" w:hAnsi="Tahoma" w:cs="Tahoma"/>
          <w:sz w:val="32"/>
          <w:szCs w:val="32"/>
        </w:rPr>
        <w:t xml:space="preserve">In case of NET Metering, 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Install</w:t>
      </w:r>
      <w:r w:rsidR="000D6919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ation of Solar system is only 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allowed  </w:t>
      </w:r>
      <w:r w:rsidR="000D6919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    </w:t>
      </w:r>
      <w:r w:rsidRPr="00C47A5E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from </w:t>
      </w:r>
      <w:r w:rsidRP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AEDB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 </w:t>
      </w:r>
      <w:r w:rsidRP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approved </w:t>
      </w:r>
      <w:r w:rsidRPr="00C47A5E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Installer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s/</w:t>
      </w:r>
      <w:r w:rsidRP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vendors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.</w:t>
      </w:r>
    </w:p>
    <w:p w:rsidR="006D49DF" w:rsidRPr="009E65CC" w:rsidRDefault="000D3C5B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2F2971">
        <w:rPr>
          <w:rFonts w:ascii="Tahoma" w:hAnsi="Tahoma" w:cs="Tahoma"/>
          <w:sz w:val="32"/>
          <w:szCs w:val="32"/>
        </w:rPr>
        <w:t xml:space="preserve">Upgrade your </w:t>
      </w:r>
      <w:r w:rsidR="003853B8" w:rsidRPr="002F2971">
        <w:rPr>
          <w:rFonts w:ascii="Tahoma" w:hAnsi="Tahoma" w:cs="Tahoma"/>
          <w:b/>
          <w:bCs/>
          <w:sz w:val="32"/>
          <w:szCs w:val="32"/>
        </w:rPr>
        <w:t xml:space="preserve">Connection Type: 3 Phase &amp; </w:t>
      </w:r>
      <w:r w:rsidR="006D49DF" w:rsidRPr="006D49DF">
        <w:rPr>
          <w:rFonts w:ascii="Tahoma" w:eastAsia="Calibri" w:hAnsi="Tahoma" w:cs="Tahoma"/>
          <w:b/>
          <w:bCs/>
          <w:sz w:val="32"/>
          <w:szCs w:val="32"/>
        </w:rPr>
        <w:t>Load applied for</w:t>
      </w:r>
      <w:r w:rsidR="006D49DF" w:rsidRPr="000D6919">
        <w:rPr>
          <w:rFonts w:ascii="Tahoma" w:eastAsia="Calibri" w:hAnsi="Tahoma" w:cs="Tahoma"/>
          <w:b/>
          <w:bCs/>
          <w:sz w:val="32"/>
          <w:szCs w:val="32"/>
        </w:rPr>
        <w:t xml:space="preserve"> </w:t>
      </w:r>
      <w:r w:rsidR="006D49DF" w:rsidRPr="000D6919">
        <w:rPr>
          <w:rFonts w:ascii="Tahoma" w:eastAsia="Calibri" w:hAnsi="Tahoma" w:cs="Tahoma"/>
          <w:b/>
          <w:bCs/>
          <w:sz w:val="32"/>
          <w:szCs w:val="32"/>
        </w:rPr>
        <w:tab/>
      </w:r>
      <w:r w:rsidR="006D49DF" w:rsidRPr="000D6919">
        <w:rPr>
          <w:rFonts w:ascii="Tahoma" w:eastAsia="Calibri" w:hAnsi="Tahoma" w:cs="Tahoma"/>
          <w:b/>
          <w:bCs/>
          <w:sz w:val="32"/>
          <w:szCs w:val="32"/>
        </w:rPr>
        <w:tab/>
      </w:r>
      <w:r w:rsidR="000D6919" w:rsidRPr="000D6919">
        <w:rPr>
          <w:rFonts w:ascii="Tahoma" w:eastAsia="Calibri" w:hAnsi="Tahoma" w:cs="Tahoma"/>
          <w:b/>
          <w:bCs/>
          <w:sz w:val="32"/>
          <w:szCs w:val="32"/>
        </w:rPr>
        <w:t xml:space="preserve">DG </w:t>
      </w:r>
      <w:r w:rsidR="00C92BEA">
        <w:rPr>
          <w:rFonts w:ascii="Tahoma" w:eastAsia="Calibri" w:hAnsi="Tahoma" w:cs="Tahoma"/>
          <w:b/>
          <w:bCs/>
          <w:sz w:val="32"/>
          <w:szCs w:val="32"/>
        </w:rPr>
        <w:t>Facility can</w:t>
      </w:r>
      <w:r w:rsidR="009E65CC">
        <w:rPr>
          <w:rFonts w:ascii="Tahoma" w:eastAsia="Calibri" w:hAnsi="Tahoma" w:cs="Tahoma"/>
          <w:b/>
          <w:bCs/>
          <w:sz w:val="32"/>
          <w:szCs w:val="32"/>
        </w:rPr>
        <w:t xml:space="preserve"> be equal 1.5 times  than load Sanctioned</w:t>
      </w:r>
    </w:p>
    <w:p w:rsidR="009E65CC" w:rsidRPr="000D6919" w:rsidRDefault="009E65CC" w:rsidP="009E65CC">
      <w:pPr>
        <w:pStyle w:val="Default"/>
        <w:spacing w:line="360" w:lineRule="auto"/>
        <w:ind w:left="567"/>
        <w:rPr>
          <w:rFonts w:ascii="Tahoma" w:hAnsi="Tahoma" w:cs="Tahoma"/>
          <w:sz w:val="32"/>
          <w:szCs w:val="32"/>
        </w:rPr>
      </w:pPr>
      <w:r>
        <w:rPr>
          <w:rFonts w:ascii="Tahoma" w:eastAsia="Calibri" w:hAnsi="Tahoma" w:cs="Tahoma"/>
          <w:b/>
          <w:bCs/>
          <w:sz w:val="32"/>
          <w:szCs w:val="32"/>
        </w:rPr>
        <w:t xml:space="preserve">Ranging </w:t>
      </w:r>
      <w:proofErr w:type="gramStart"/>
      <w:r>
        <w:rPr>
          <w:rFonts w:ascii="Tahoma" w:eastAsia="Calibri" w:hAnsi="Tahoma" w:cs="Tahoma"/>
          <w:b/>
          <w:bCs/>
          <w:sz w:val="32"/>
          <w:szCs w:val="32"/>
        </w:rPr>
        <w:t>between  01</w:t>
      </w:r>
      <w:proofErr w:type="gramEnd"/>
      <w:r>
        <w:rPr>
          <w:rFonts w:ascii="Tahoma" w:eastAsia="Calibri" w:hAnsi="Tahoma" w:cs="Tahoma"/>
          <w:b/>
          <w:bCs/>
          <w:sz w:val="32"/>
          <w:szCs w:val="32"/>
        </w:rPr>
        <w:t xml:space="preserve"> Kw to 1000 Kw</w:t>
      </w:r>
    </w:p>
    <w:p w:rsidR="00DC27F3" w:rsidRDefault="003853B8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 xml:space="preserve">Distributed Generation Interconnection Agreement between </w:t>
      </w:r>
      <w:r w:rsidR="00770F60"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Distributed Generator and Distribution Company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Schedule-I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DC27F3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 xml:space="preserve">Standard Distributed Generation Application Form </w:t>
      </w:r>
      <w:proofErr w:type="gramStart"/>
      <w:r w:rsidR="00DC27F3" w:rsidRPr="00DC27F3">
        <w:rPr>
          <w:rFonts w:ascii="Tahoma" w:hAnsi="Tahoma" w:cs="Tahoma"/>
          <w:sz w:val="32"/>
          <w:szCs w:val="32"/>
        </w:rPr>
        <w:t>For</w:t>
      </w:r>
      <w:proofErr w:type="gramEnd"/>
      <w:r w:rsidR="00DC27F3" w:rsidRPr="00DC27F3">
        <w:rPr>
          <w:rFonts w:ascii="Tahoma" w:hAnsi="Tahoma" w:cs="Tahoma"/>
          <w:sz w:val="32"/>
          <w:szCs w:val="32"/>
        </w:rPr>
        <w:t xml:space="preserve"> Distribution </w:t>
      </w:r>
      <w:r w:rsidR="00770F60"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Company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Schedule-II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DC27F3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 xml:space="preserve">Application for grant of License National Electric Power Regulatory </w:t>
      </w:r>
      <w:r w:rsidR="00770F60"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Authority (NEPRA)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Schedule-III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DC27F3" w:rsidRPr="003873F9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3873F9">
        <w:rPr>
          <w:rFonts w:ascii="Tahoma" w:hAnsi="Tahoma" w:cs="Tahoma"/>
          <w:sz w:val="30"/>
          <w:szCs w:val="30"/>
        </w:rPr>
        <w:t>Application for Exemption from section 24 of the Act (</w:t>
      </w:r>
      <w:r w:rsidR="00DC27F3" w:rsidRPr="003873F9">
        <w:rPr>
          <w:rFonts w:ascii="Tahoma" w:hAnsi="Tahoma" w:cs="Tahoma"/>
          <w:b/>
          <w:bCs/>
          <w:sz w:val="30"/>
          <w:szCs w:val="30"/>
        </w:rPr>
        <w:t>Schedule-IV</w:t>
      </w:r>
      <w:r w:rsidR="00DC27F3" w:rsidRPr="003873F9">
        <w:rPr>
          <w:rFonts w:ascii="Tahoma" w:hAnsi="Tahoma" w:cs="Tahoma"/>
          <w:sz w:val="30"/>
          <w:szCs w:val="30"/>
        </w:rPr>
        <w:t xml:space="preserve">) </w:t>
      </w:r>
    </w:p>
    <w:p w:rsidR="00DC27F3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Fee Schedule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Schedule-V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DC27F3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Affidavit (On non-judicial paper)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Schedule-VI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DC27F3" w:rsidRDefault="003873F9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 w:rsidR="00DC27F3" w:rsidRPr="00DC27F3">
        <w:rPr>
          <w:rFonts w:ascii="Tahoma" w:hAnsi="Tahoma" w:cs="Tahoma"/>
          <w:sz w:val="32"/>
          <w:szCs w:val="32"/>
        </w:rPr>
        <w:t>Generation License Template (</w:t>
      </w:r>
      <w:r w:rsidR="00DC27F3" w:rsidRPr="00DC27F3">
        <w:rPr>
          <w:rFonts w:ascii="Tahoma" w:hAnsi="Tahoma" w:cs="Tahoma"/>
          <w:b/>
          <w:bCs/>
          <w:sz w:val="32"/>
          <w:szCs w:val="32"/>
        </w:rPr>
        <w:t>Schedule-VII</w:t>
      </w:r>
      <w:r w:rsidR="00DC27F3" w:rsidRPr="00DC27F3">
        <w:rPr>
          <w:rFonts w:ascii="Tahoma" w:hAnsi="Tahoma" w:cs="Tahoma"/>
          <w:sz w:val="32"/>
          <w:szCs w:val="32"/>
        </w:rPr>
        <w:t>)</w:t>
      </w:r>
      <w:r w:rsidR="008D7DB2">
        <w:rPr>
          <w:rFonts w:ascii="Tahoma" w:hAnsi="Tahoma" w:cs="Tahoma"/>
          <w:sz w:val="32"/>
          <w:szCs w:val="32"/>
        </w:rPr>
        <w:t>.</w:t>
      </w:r>
      <w:r w:rsidR="00DC27F3" w:rsidRPr="00DC27F3">
        <w:rPr>
          <w:rFonts w:ascii="Tahoma" w:hAnsi="Tahoma" w:cs="Tahoma"/>
          <w:sz w:val="32"/>
          <w:szCs w:val="32"/>
        </w:rPr>
        <w:t xml:space="preserve"> </w:t>
      </w:r>
    </w:p>
    <w:p w:rsidR="001622B0" w:rsidRDefault="00DC27F3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 w:rsidRPr="00DC27F3">
        <w:rPr>
          <w:rFonts w:ascii="Tahoma" w:hAnsi="Tahoma" w:cs="Tahoma"/>
          <w:sz w:val="32"/>
          <w:szCs w:val="32"/>
        </w:rPr>
        <w:t>Attested copy of CNIC</w:t>
      </w:r>
      <w:r w:rsidR="000D3C5B">
        <w:rPr>
          <w:rFonts w:ascii="Tahoma" w:hAnsi="Tahoma" w:cs="Tahoma"/>
          <w:sz w:val="32"/>
          <w:szCs w:val="32"/>
        </w:rPr>
        <w:t xml:space="preserve"> of Applicant and Witnesses from applicant</w:t>
      </w:r>
      <w:r w:rsidRPr="00DC27F3">
        <w:rPr>
          <w:rFonts w:ascii="Tahoma" w:hAnsi="Tahoma" w:cs="Tahoma"/>
          <w:sz w:val="32"/>
          <w:szCs w:val="32"/>
        </w:rPr>
        <w:t xml:space="preserve">. </w:t>
      </w:r>
    </w:p>
    <w:p w:rsidR="001622B0" w:rsidRPr="002F2971" w:rsidRDefault="001622B0" w:rsidP="006B4918">
      <w:pPr>
        <w:pStyle w:val="Default"/>
        <w:numPr>
          <w:ilvl w:val="0"/>
          <w:numId w:val="9"/>
        </w:numPr>
        <w:spacing w:line="360" w:lineRule="auto"/>
        <w:ind w:left="567" w:hanging="709"/>
        <w:rPr>
          <w:rFonts w:ascii="Tahoma" w:hAnsi="Tahoma" w:cs="Tahoma"/>
          <w:sz w:val="32"/>
          <w:szCs w:val="32"/>
        </w:rPr>
      </w:pPr>
      <w:r w:rsidRPr="001622B0">
        <w:rPr>
          <w:rFonts w:ascii="Tahoma" w:hAnsi="Tahoma" w:cs="Tahoma"/>
          <w:sz w:val="32"/>
          <w:szCs w:val="32"/>
        </w:rPr>
        <w:t>Copy of last paid electricity bill.</w:t>
      </w:r>
      <w:r w:rsidRPr="002F2971">
        <w:rPr>
          <w:rFonts w:ascii="Tahoma" w:hAnsi="Tahoma" w:cs="Tahoma"/>
          <w:sz w:val="32"/>
          <w:szCs w:val="32"/>
        </w:rPr>
        <w:t xml:space="preserve"> (</w:t>
      </w:r>
      <w:r w:rsidRPr="002F2971">
        <w:rPr>
          <w:rFonts w:ascii="Tahoma" w:hAnsi="Tahoma" w:cs="Tahoma"/>
          <w:b/>
          <w:bCs/>
          <w:sz w:val="32"/>
          <w:szCs w:val="32"/>
        </w:rPr>
        <w:t>Name of applicant and name</w:t>
      </w:r>
      <w:r w:rsidR="002F2971" w:rsidRPr="002F2971">
        <w:rPr>
          <w:rFonts w:ascii="Tahoma" w:hAnsi="Tahoma" w:cs="Tahoma"/>
          <w:b/>
          <w:bCs/>
          <w:sz w:val="32"/>
          <w:szCs w:val="32"/>
        </w:rPr>
        <w:t xml:space="preserve">    </w:t>
      </w:r>
      <w:r w:rsidR="002F2971" w:rsidRPr="002F2971">
        <w:rPr>
          <w:rFonts w:ascii="Tahoma" w:hAnsi="Tahoma" w:cs="Tahoma"/>
          <w:b/>
          <w:bCs/>
          <w:sz w:val="32"/>
          <w:szCs w:val="32"/>
        </w:rPr>
        <w:tab/>
      </w:r>
      <w:r w:rsidRPr="002F2971">
        <w:rPr>
          <w:rFonts w:ascii="Tahoma" w:hAnsi="Tahoma" w:cs="Tahoma"/>
          <w:b/>
          <w:bCs/>
          <w:sz w:val="32"/>
          <w:szCs w:val="32"/>
        </w:rPr>
        <w:t>mentioned on electricity bill must be same</w:t>
      </w:r>
      <w:r w:rsidRPr="002F2971">
        <w:rPr>
          <w:rFonts w:ascii="Tahoma" w:hAnsi="Tahoma" w:cs="Tahoma"/>
          <w:sz w:val="32"/>
          <w:szCs w:val="32"/>
        </w:rPr>
        <w:t>).</w:t>
      </w:r>
    </w:p>
    <w:p w:rsidR="001622B0" w:rsidRPr="001622B0" w:rsidRDefault="001622B0" w:rsidP="006B491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567" w:hanging="709"/>
        <w:rPr>
          <w:rFonts w:ascii="Tahoma" w:eastAsiaTheme="minorHAnsi" w:hAnsi="Tahoma" w:cs="Tahoma"/>
          <w:color w:val="000000"/>
          <w:sz w:val="30"/>
          <w:szCs w:val="30"/>
          <w:lang w:eastAsia="en-US"/>
        </w:rPr>
      </w:pPr>
      <w:r w:rsidRPr="001622B0">
        <w:rPr>
          <w:rFonts w:ascii="Tahoma" w:eastAsiaTheme="minorHAnsi" w:hAnsi="Tahoma" w:cs="Tahoma"/>
          <w:color w:val="000000"/>
          <w:sz w:val="30"/>
          <w:szCs w:val="30"/>
          <w:lang w:eastAsia="en-US"/>
        </w:rPr>
        <w:t>Technical Data of components including solar modules, invertors, etc.</w:t>
      </w:r>
    </w:p>
    <w:p w:rsidR="001622B0" w:rsidRPr="001622B0" w:rsidRDefault="001622B0" w:rsidP="006B491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 w:rsidRPr="001622B0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Schematic drawings, Single line diagram of the system</w:t>
      </w:r>
      <w:r w:rsidR="008D7DB2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.</w:t>
      </w:r>
    </w:p>
    <w:p w:rsidR="001622B0" w:rsidRPr="001622B0" w:rsidRDefault="001622B0" w:rsidP="006B491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 w:rsidRPr="001622B0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Site plan showing location of external disconnect switch.</w:t>
      </w:r>
    </w:p>
    <w:p w:rsidR="001622B0" w:rsidRPr="001622B0" w:rsidRDefault="001622B0" w:rsidP="006B491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 w:rsidRPr="001622B0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Certificate from Electrical Inspector if DG facility is Above 250 KW.</w:t>
      </w:r>
    </w:p>
    <w:p w:rsidR="001622B0" w:rsidRDefault="001622B0" w:rsidP="006B491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 w:rsidRPr="001622B0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Load Flow Study if DG Facility is greater than </w:t>
      </w:r>
      <w:r w:rsidR="00F70288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25</w:t>
      </w:r>
      <w:r w:rsidRPr="001622B0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0 KW.</w:t>
      </w:r>
    </w:p>
    <w:p w:rsidR="008D7DB2" w:rsidRDefault="000D3C5B" w:rsidP="006B4918">
      <w:pPr>
        <w:pStyle w:val="ListParagraph"/>
        <w:numPr>
          <w:ilvl w:val="0"/>
          <w:numId w:val="9"/>
        </w:numPr>
        <w:spacing w:line="360" w:lineRule="auto"/>
        <w:ind w:left="567" w:hanging="709"/>
        <w:rPr>
          <w:rFonts w:ascii="Tahoma" w:eastAsiaTheme="minorHAnsi" w:hAnsi="Tahoma" w:cs="Tahoma"/>
          <w:color w:val="000000"/>
          <w:sz w:val="32"/>
          <w:szCs w:val="32"/>
          <w:lang w:eastAsia="en-US"/>
        </w:rPr>
      </w:pP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lastRenderedPageBreak/>
        <w:t>Installation/</w:t>
      </w:r>
      <w:r w:rsidR="008D7DB2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Inspection </w:t>
      </w:r>
      <w:r w:rsidR="003F3E17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Certificate </w:t>
      </w:r>
      <w:r w:rsidR="008D7DB2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of Electrical Installations</w:t>
      </w:r>
      <w:r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 </w:t>
      </w:r>
      <w:r w:rsidR="00C47A5E" w:rsidRPr="00C47A5E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from Installer</w:t>
      </w:r>
      <w:r w:rsidR="003F3E17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s</w:t>
      </w:r>
      <w:r w:rsid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/</w:t>
      </w:r>
      <w:r w:rsidR="004B3936" w:rsidRPr="004B3936">
        <w:rPr>
          <w:rFonts w:ascii="Tahoma" w:eastAsia="Tahoma" w:hAnsi="Tahoma"/>
        </w:rPr>
        <w:t xml:space="preserve"> </w:t>
      </w:r>
      <w:r w:rsidR="004B3936" w:rsidRP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AEDB</w:t>
      </w:r>
      <w:r w:rsidR="00253E35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 xml:space="preserve"> </w:t>
      </w:r>
      <w:r w:rsidR="004B3936" w:rsidRPr="004B3936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approved vendors</w:t>
      </w:r>
      <w:r w:rsidR="008D7DB2">
        <w:rPr>
          <w:rFonts w:ascii="Tahoma" w:eastAsiaTheme="minorHAnsi" w:hAnsi="Tahoma" w:cs="Tahoma"/>
          <w:color w:val="000000"/>
          <w:sz w:val="32"/>
          <w:szCs w:val="32"/>
          <w:lang w:eastAsia="en-US"/>
        </w:rPr>
        <w:t>.</w:t>
      </w:r>
    </w:p>
    <w:p w:rsidR="00D97B30" w:rsidRPr="00D97B30" w:rsidRDefault="00D97B30" w:rsidP="00D97B30">
      <w:pPr>
        <w:pStyle w:val="ListParagraph"/>
        <w:numPr>
          <w:ilvl w:val="0"/>
          <w:numId w:val="9"/>
        </w:numPr>
        <w:spacing w:line="360" w:lineRule="auto"/>
        <w:ind w:left="284" w:hanging="426"/>
        <w:rPr>
          <w:rFonts w:ascii="Tahoma" w:eastAsiaTheme="minorHAnsi" w:hAnsi="Tahoma" w:cs="Tahoma"/>
          <w:color w:val="000000"/>
          <w:sz w:val="30"/>
          <w:szCs w:val="30"/>
          <w:lang w:eastAsia="en-US"/>
        </w:rPr>
      </w:pPr>
      <w:r w:rsidRPr="003E09C9">
        <w:rPr>
          <w:rFonts w:ascii="Tahoma" w:eastAsiaTheme="minorHAnsi" w:hAnsi="Tahoma" w:cs="Tahoma"/>
          <w:color w:val="000000"/>
          <w:sz w:val="30"/>
          <w:szCs w:val="30"/>
          <w:lang w:eastAsia="en-US"/>
        </w:rPr>
        <w:t>In case of company, CUIN certificate is required.</w:t>
      </w:r>
    </w:p>
    <w:p w:rsidR="00B365BE" w:rsidRPr="00C85F18" w:rsidRDefault="00B365BE" w:rsidP="00C85F18">
      <w:pPr>
        <w:spacing w:line="0" w:lineRule="atLeast"/>
        <w:jc w:val="center"/>
        <w:rPr>
          <w:sz w:val="36"/>
          <w:szCs w:val="36"/>
        </w:rPr>
      </w:pPr>
    </w:p>
    <w:sectPr w:rsidR="00B365BE" w:rsidRPr="00C85F18" w:rsidSect="009E65CC">
      <w:footerReference w:type="default" r:id="rId8"/>
      <w:pgSz w:w="11907" w:h="16839" w:code="9"/>
      <w:pgMar w:top="810" w:right="425" w:bottom="720" w:left="72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4B" w:rsidRDefault="00CC3D4B" w:rsidP="00963BFF">
      <w:r>
        <w:separator/>
      </w:r>
    </w:p>
  </w:endnote>
  <w:endnote w:type="continuationSeparator" w:id="0">
    <w:p w:rsidR="00CC3D4B" w:rsidRDefault="00CC3D4B" w:rsidP="009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9"/>
      <w:gridCol w:w="9893"/>
    </w:tblGrid>
    <w:tr w:rsidR="00963BFF" w:rsidTr="003F3E17">
      <w:trPr>
        <w:trHeight w:val="350"/>
      </w:trPr>
      <w:tc>
        <w:tcPr>
          <w:tcW w:w="500" w:type="pct"/>
          <w:tcBorders>
            <w:top w:val="single" w:sz="4" w:space="0" w:color="943634" w:themeColor="accent2" w:themeShade="BF"/>
            <w:bottom w:val="single" w:sz="4" w:space="0" w:color="943634" w:themeColor="accent2" w:themeShade="BF"/>
          </w:tcBorders>
          <w:shd w:val="clear" w:color="auto" w:fill="943634" w:themeFill="accent2" w:themeFillShade="BF"/>
        </w:tcPr>
        <w:p w:rsidR="00963BFF" w:rsidRDefault="00010B18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E65CC" w:rsidRPr="009E65C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bottom w:val="single" w:sz="4" w:space="0" w:color="auto"/>
          </w:tcBorders>
        </w:tcPr>
        <w:p w:rsidR="00963BFF" w:rsidRDefault="00963BFF" w:rsidP="00963BFF">
          <w:pPr>
            <w:pStyle w:val="Footer"/>
          </w:pPr>
          <w:r>
            <w:t xml:space="preserve">| </w:t>
          </w:r>
          <w:sdt>
            <w:sdtPr>
              <w:alias w:val="Company"/>
              <w:id w:val="75914618"/>
              <w:placeholder>
                <w:docPart w:val="04B068394425408AA015453A33577CE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Multan Electric Power Company (MEPCO)</w:t>
              </w:r>
            </w:sdtContent>
          </w:sdt>
        </w:p>
      </w:tc>
    </w:tr>
    <w:tr w:rsidR="00963BFF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963BFF" w:rsidRDefault="00963BFF">
          <w:pPr>
            <w:pStyle w:val="Footer"/>
            <w:jc w:val="right"/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963BFF" w:rsidRDefault="00963BFF" w:rsidP="00963BFF">
          <w:pPr>
            <w:pStyle w:val="Footer"/>
          </w:pPr>
        </w:p>
      </w:tc>
    </w:tr>
  </w:tbl>
  <w:p w:rsidR="00963BFF" w:rsidRDefault="00963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4B" w:rsidRDefault="00CC3D4B" w:rsidP="00963BFF">
      <w:r>
        <w:separator/>
      </w:r>
    </w:p>
  </w:footnote>
  <w:footnote w:type="continuationSeparator" w:id="0">
    <w:p w:rsidR="00CC3D4B" w:rsidRDefault="00CC3D4B" w:rsidP="0096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A544A5"/>
    <w:multiLevelType w:val="hybridMultilevel"/>
    <w:tmpl w:val="ADD08EAE"/>
    <w:lvl w:ilvl="0" w:tplc="D3B6A8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7391"/>
    <w:multiLevelType w:val="hybridMultilevel"/>
    <w:tmpl w:val="C36C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56FE3"/>
    <w:multiLevelType w:val="hybridMultilevel"/>
    <w:tmpl w:val="66DA3F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7937"/>
    <w:multiLevelType w:val="hybridMultilevel"/>
    <w:tmpl w:val="FDD0A1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16488"/>
    <w:multiLevelType w:val="hybridMultilevel"/>
    <w:tmpl w:val="06D0B6C8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172D92"/>
    <w:multiLevelType w:val="hybridMultilevel"/>
    <w:tmpl w:val="AC167B4A"/>
    <w:lvl w:ilvl="0" w:tplc="652C9F6E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sz w:val="52"/>
        <w:szCs w:val="52"/>
      </w:rPr>
    </w:lvl>
    <w:lvl w:ilvl="1" w:tplc="BDD2C5EE">
      <w:start w:val="1"/>
      <w:numFmt w:val="bullet"/>
      <w:lvlText w:val=""/>
      <w:lvlJc w:val="left"/>
      <w:pPr>
        <w:ind w:left="0" w:firstLine="0"/>
      </w:pPr>
    </w:lvl>
    <w:lvl w:ilvl="2" w:tplc="E034DEE4">
      <w:start w:val="1"/>
      <w:numFmt w:val="bullet"/>
      <w:lvlText w:val=""/>
      <w:lvlJc w:val="left"/>
      <w:pPr>
        <w:ind w:left="0" w:firstLine="0"/>
      </w:pPr>
    </w:lvl>
    <w:lvl w:ilvl="3" w:tplc="527E24E2">
      <w:start w:val="1"/>
      <w:numFmt w:val="bullet"/>
      <w:lvlText w:val=""/>
      <w:lvlJc w:val="left"/>
      <w:pPr>
        <w:ind w:left="0" w:firstLine="0"/>
      </w:pPr>
    </w:lvl>
    <w:lvl w:ilvl="4" w:tplc="63F87662">
      <w:start w:val="1"/>
      <w:numFmt w:val="bullet"/>
      <w:lvlText w:val=""/>
      <w:lvlJc w:val="left"/>
      <w:pPr>
        <w:ind w:left="0" w:firstLine="0"/>
      </w:pPr>
    </w:lvl>
    <w:lvl w:ilvl="5" w:tplc="F7422414">
      <w:start w:val="1"/>
      <w:numFmt w:val="bullet"/>
      <w:lvlText w:val=""/>
      <w:lvlJc w:val="left"/>
      <w:pPr>
        <w:ind w:left="0" w:firstLine="0"/>
      </w:pPr>
    </w:lvl>
    <w:lvl w:ilvl="6" w:tplc="6590D88E">
      <w:start w:val="1"/>
      <w:numFmt w:val="bullet"/>
      <w:lvlText w:val=""/>
      <w:lvlJc w:val="left"/>
      <w:pPr>
        <w:ind w:left="0" w:firstLine="0"/>
      </w:pPr>
    </w:lvl>
    <w:lvl w:ilvl="7" w:tplc="61206574">
      <w:start w:val="1"/>
      <w:numFmt w:val="bullet"/>
      <w:lvlText w:val=""/>
      <w:lvlJc w:val="left"/>
      <w:pPr>
        <w:ind w:left="0" w:firstLine="0"/>
      </w:pPr>
    </w:lvl>
    <w:lvl w:ilvl="8" w:tplc="779AD672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1821E56"/>
    <w:multiLevelType w:val="hybridMultilevel"/>
    <w:tmpl w:val="FC2E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7F3"/>
    <w:rsid w:val="00010B18"/>
    <w:rsid w:val="0002311A"/>
    <w:rsid w:val="00044207"/>
    <w:rsid w:val="000A28A0"/>
    <w:rsid w:val="000B7F14"/>
    <w:rsid w:val="000D3C5B"/>
    <w:rsid w:val="000D6919"/>
    <w:rsid w:val="000E2B01"/>
    <w:rsid w:val="00103B98"/>
    <w:rsid w:val="001622B0"/>
    <w:rsid w:val="002165A1"/>
    <w:rsid w:val="00253E35"/>
    <w:rsid w:val="00263541"/>
    <w:rsid w:val="002F2971"/>
    <w:rsid w:val="0030322E"/>
    <w:rsid w:val="0030613F"/>
    <w:rsid w:val="00357DD9"/>
    <w:rsid w:val="00363938"/>
    <w:rsid w:val="003853B8"/>
    <w:rsid w:val="003873F9"/>
    <w:rsid w:val="003F3E17"/>
    <w:rsid w:val="004336CD"/>
    <w:rsid w:val="00454800"/>
    <w:rsid w:val="00466D11"/>
    <w:rsid w:val="00477211"/>
    <w:rsid w:val="00484129"/>
    <w:rsid w:val="0049633F"/>
    <w:rsid w:val="004B3936"/>
    <w:rsid w:val="0053660D"/>
    <w:rsid w:val="005C508D"/>
    <w:rsid w:val="006553CB"/>
    <w:rsid w:val="00690737"/>
    <w:rsid w:val="006A41AF"/>
    <w:rsid w:val="006B4918"/>
    <w:rsid w:val="006D49DF"/>
    <w:rsid w:val="00770F60"/>
    <w:rsid w:val="00896C57"/>
    <w:rsid w:val="008A42B8"/>
    <w:rsid w:val="008B67CB"/>
    <w:rsid w:val="008D7DB2"/>
    <w:rsid w:val="008E2905"/>
    <w:rsid w:val="00913E73"/>
    <w:rsid w:val="00934461"/>
    <w:rsid w:val="00963BFF"/>
    <w:rsid w:val="009B6A7D"/>
    <w:rsid w:val="009C6ABD"/>
    <w:rsid w:val="009E65CC"/>
    <w:rsid w:val="00A06383"/>
    <w:rsid w:val="00AA2F23"/>
    <w:rsid w:val="00AA4CA0"/>
    <w:rsid w:val="00AB2296"/>
    <w:rsid w:val="00B17A53"/>
    <w:rsid w:val="00B26F70"/>
    <w:rsid w:val="00B30163"/>
    <w:rsid w:val="00B365BE"/>
    <w:rsid w:val="00B61936"/>
    <w:rsid w:val="00B67DD2"/>
    <w:rsid w:val="00BA00A1"/>
    <w:rsid w:val="00C068EF"/>
    <w:rsid w:val="00C33E84"/>
    <w:rsid w:val="00C47A5E"/>
    <w:rsid w:val="00C85F18"/>
    <w:rsid w:val="00C92BEA"/>
    <w:rsid w:val="00C97B1E"/>
    <w:rsid w:val="00CC3D4B"/>
    <w:rsid w:val="00D716C1"/>
    <w:rsid w:val="00D97B30"/>
    <w:rsid w:val="00DB7E66"/>
    <w:rsid w:val="00DC27F3"/>
    <w:rsid w:val="00DF62AF"/>
    <w:rsid w:val="00E34E5D"/>
    <w:rsid w:val="00E556D0"/>
    <w:rsid w:val="00E96B93"/>
    <w:rsid w:val="00ED070C"/>
    <w:rsid w:val="00F61756"/>
    <w:rsid w:val="00F70288"/>
    <w:rsid w:val="00FB788D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B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7F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FF"/>
  </w:style>
  <w:style w:type="paragraph" w:styleId="Footer">
    <w:name w:val="footer"/>
    <w:basedOn w:val="Normal"/>
    <w:link w:val="FooterChar"/>
    <w:uiPriority w:val="99"/>
    <w:unhideWhenUsed/>
    <w:rsid w:val="00963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F"/>
  </w:style>
  <w:style w:type="paragraph" w:styleId="BalloonText">
    <w:name w:val="Balloon Text"/>
    <w:basedOn w:val="Normal"/>
    <w:link w:val="BalloonTextChar"/>
    <w:uiPriority w:val="99"/>
    <w:semiHidden/>
    <w:unhideWhenUsed/>
    <w:rsid w:val="0096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B068394425408AA015453A3357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45DC-D1A2-4218-B771-A1D4C0A2C168}"/>
      </w:docPartPr>
      <w:docPartBody>
        <w:p w:rsidR="00266552" w:rsidRDefault="001410BA" w:rsidP="001410BA">
          <w:pPr>
            <w:pStyle w:val="04B068394425408AA015453A33577CE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0BA"/>
    <w:rsid w:val="001410BA"/>
    <w:rsid w:val="0018632C"/>
    <w:rsid w:val="001B7D23"/>
    <w:rsid w:val="001E7634"/>
    <w:rsid w:val="00227473"/>
    <w:rsid w:val="00266552"/>
    <w:rsid w:val="00377762"/>
    <w:rsid w:val="004A1D15"/>
    <w:rsid w:val="004F2FA7"/>
    <w:rsid w:val="005234E1"/>
    <w:rsid w:val="00680824"/>
    <w:rsid w:val="008D1C83"/>
    <w:rsid w:val="00A10B42"/>
    <w:rsid w:val="00AB71A6"/>
    <w:rsid w:val="00AD5335"/>
    <w:rsid w:val="00B860BB"/>
    <w:rsid w:val="00C20156"/>
    <w:rsid w:val="00CE30BE"/>
    <w:rsid w:val="00DA3718"/>
    <w:rsid w:val="00DC1535"/>
    <w:rsid w:val="00EC384D"/>
    <w:rsid w:val="00ED190F"/>
    <w:rsid w:val="00F02B1A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068394425408AA015453A33577CEB">
    <w:name w:val="04B068394425408AA015453A33577CEB"/>
    <w:rsid w:val="001410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Multan Electric Power Company (MEPCO)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30</cp:revision>
  <cp:lastPrinted>2019-03-11T06:34:00Z</cp:lastPrinted>
  <dcterms:created xsi:type="dcterms:W3CDTF">2018-02-09T04:37:00Z</dcterms:created>
  <dcterms:modified xsi:type="dcterms:W3CDTF">2019-11-21T05:07:00Z</dcterms:modified>
</cp:coreProperties>
</file>